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CEB7" w14:textId="10E9DE1A" w:rsidR="008E2128" w:rsidRPr="00497CA5" w:rsidRDefault="008E2128" w:rsidP="008E2128">
      <w:pPr>
        <w:spacing w:after="160" w:line="259" w:lineRule="auto"/>
        <w:jc w:val="center"/>
        <w:rPr>
          <w:rFonts w:ascii="Times New Roman" w:hAnsi="Times New Roman"/>
          <w:color w:val="3333FF"/>
          <w:szCs w:val="22"/>
        </w:rPr>
      </w:pPr>
      <w:r w:rsidRPr="00497CA5">
        <w:rPr>
          <w:rFonts w:ascii="Times New Roman" w:hAnsi="Times New Roman"/>
          <w:color w:val="3333FF"/>
          <w:szCs w:val="22"/>
        </w:rPr>
        <w:t xml:space="preserve">This Knowledge </w:t>
      </w:r>
      <w:r w:rsidR="00B93F01">
        <w:rPr>
          <w:rFonts w:ascii="Times New Roman" w:hAnsi="Times New Roman"/>
          <w:color w:val="3333FF"/>
          <w:szCs w:val="22"/>
        </w:rPr>
        <w:t>Challenge</w:t>
      </w:r>
      <w:r w:rsidRPr="00497CA5">
        <w:rPr>
          <w:rFonts w:ascii="Times New Roman" w:hAnsi="Times New Roman"/>
          <w:color w:val="3333FF"/>
          <w:szCs w:val="22"/>
        </w:rPr>
        <w:t xml:space="preserve"> was developed based on documents published as of </w:t>
      </w:r>
      <w:r w:rsidR="0059438B" w:rsidRPr="00497CA5">
        <w:rPr>
          <w:rFonts w:ascii="Times New Roman" w:hAnsi="Times New Roman"/>
          <w:color w:val="3333FF"/>
          <w:szCs w:val="22"/>
        </w:rPr>
        <w:t>7/27/2020</w:t>
      </w:r>
      <w:r w:rsidRPr="00497CA5">
        <w:rPr>
          <w:rFonts w:ascii="Times New Roman" w:hAnsi="Times New Roman"/>
          <w:color w:val="3333FF"/>
          <w:szCs w:val="22"/>
        </w:rPr>
        <w:t xml:space="preserve">.  Subsequent publications may change the responses.  This tool was not created as a teaching tool but was designed to assess a person’s basic knowledge of the requirements surrounding EIV.  </w:t>
      </w:r>
      <w:r w:rsidR="00497CA5" w:rsidRPr="00497CA5">
        <w:rPr>
          <w:rFonts w:ascii="Times New Roman" w:hAnsi="Times New Roman"/>
          <w:color w:val="3333FF"/>
          <w:szCs w:val="22"/>
        </w:rPr>
        <w:t xml:space="preserve">This is an abbreviated version of the RBD EIV Knowledge Assessment.  </w:t>
      </w:r>
      <w:r w:rsidRPr="00497CA5">
        <w:rPr>
          <w:rFonts w:ascii="Times New Roman" w:hAnsi="Times New Roman"/>
          <w:color w:val="3333FF"/>
          <w:szCs w:val="22"/>
        </w:rPr>
        <w:t>Any person managing, supporting or providing services for owner/agents of HUD Multifamily Housing programs must be dedicated to staying abreast of any HUD guidance.</w:t>
      </w:r>
    </w:p>
    <w:p w14:paraId="371E4B0A" w14:textId="279C5EB0" w:rsidR="0059438B" w:rsidRDefault="0059438B" w:rsidP="0059438B">
      <w:r>
        <w:t xml:space="preserve">Instructions:  Before answering these questions, use the SAVE AS option to save the assessment.  </w:t>
      </w:r>
      <w:r w:rsidR="00A10BC6">
        <w:t xml:space="preserve">Create a unique name for your Assessment.  </w:t>
      </w:r>
      <w:r>
        <w:t>Answer the questions by tabbing</w:t>
      </w:r>
      <w:r w:rsidR="00865755">
        <w:t xml:space="preserve"> or entering</w:t>
      </w:r>
      <w:r>
        <w:t xml:space="preserve"> </w:t>
      </w:r>
      <w:r w:rsidR="00D72A2A">
        <w:t xml:space="preserve">until your cursor is in the box next </w:t>
      </w:r>
      <w:r>
        <w:t xml:space="preserve">to the appropriate response and </w:t>
      </w:r>
      <w:r w:rsidR="00D72A2A">
        <w:t xml:space="preserve">then </w:t>
      </w:r>
      <w:r>
        <w:t xml:space="preserve">using the </w:t>
      </w:r>
      <w:r w:rsidR="00865755">
        <w:t>space bar</w:t>
      </w:r>
      <w:r>
        <w:t xml:space="preserve"> key</w:t>
      </w:r>
      <w:r w:rsidR="00497CA5">
        <w:t xml:space="preserve"> to place an X in the box</w:t>
      </w:r>
      <w:r>
        <w:t xml:space="preserve">.  </w:t>
      </w:r>
    </w:p>
    <w:p w14:paraId="398159B9" w14:textId="325BDD55" w:rsidR="00A10BC6" w:rsidRDefault="00A10BC6" w:rsidP="00594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3177"/>
        <w:gridCol w:w="2225"/>
        <w:gridCol w:w="3410"/>
        <w:gridCol w:w="17"/>
      </w:tblGrid>
      <w:tr w:rsidR="00A10BC6" w:rsidRPr="00227753" w14:paraId="51CDFAAE" w14:textId="77777777" w:rsidTr="00A10BC6">
        <w:trPr>
          <w:gridAfter w:val="1"/>
          <w:wAfter w:w="8" w:type="pct"/>
        </w:trPr>
        <w:tc>
          <w:tcPr>
            <w:tcW w:w="909" w:type="pct"/>
            <w:tcBorders>
              <w:right w:val="single" w:sz="4" w:space="0" w:color="auto"/>
            </w:tcBorders>
          </w:tcPr>
          <w:p w14:paraId="1D3516F3" w14:textId="0AA57AF8" w:rsidR="00A10BC6" w:rsidRPr="00227753" w:rsidRDefault="00A10BC6" w:rsidP="00865755">
            <w:r>
              <w:t>Name</w:t>
            </w:r>
          </w:p>
        </w:tc>
        <w:tc>
          <w:tcPr>
            <w:tcW w:w="4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63F" w14:textId="77777777" w:rsidR="00A10BC6" w:rsidRPr="00227753" w:rsidRDefault="00A10BC6" w:rsidP="00865755">
            <w:r w:rsidRPr="002277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7753">
              <w:instrText xml:space="preserve"> FORMTEXT </w:instrText>
            </w:r>
            <w:r w:rsidRPr="00227753">
              <w:fldChar w:fldCharType="separate"/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fldChar w:fldCharType="end"/>
            </w:r>
          </w:p>
        </w:tc>
      </w:tr>
      <w:tr w:rsidR="00A10BC6" w:rsidRPr="00227753" w14:paraId="138EA3B8" w14:textId="77777777" w:rsidTr="00A10BC6">
        <w:trPr>
          <w:gridAfter w:val="1"/>
          <w:wAfter w:w="8" w:type="pct"/>
        </w:trPr>
        <w:tc>
          <w:tcPr>
            <w:tcW w:w="909" w:type="pct"/>
            <w:tcBorders>
              <w:right w:val="single" w:sz="4" w:space="0" w:color="auto"/>
            </w:tcBorders>
          </w:tcPr>
          <w:p w14:paraId="6616BD1A" w14:textId="77777777" w:rsidR="00A10BC6" w:rsidRPr="00227753" w:rsidRDefault="00A10BC6" w:rsidP="00865755">
            <w:r w:rsidRPr="00227753">
              <w:t>Property Name: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AC3" w14:textId="77777777" w:rsidR="00A10BC6" w:rsidRPr="00227753" w:rsidRDefault="00A10BC6" w:rsidP="00865755">
            <w:r w:rsidRPr="002277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7753">
              <w:instrText xml:space="preserve"> FORMTEXT </w:instrText>
            </w:r>
            <w:r w:rsidRPr="00227753">
              <w:fldChar w:fldCharType="separate"/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fldChar w:fldCharType="end"/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</w:tcPr>
          <w:p w14:paraId="614965EC" w14:textId="6357597D" w:rsidR="00A10BC6" w:rsidRPr="00227753" w:rsidRDefault="00A10BC6" w:rsidP="00865755">
            <w:r>
              <w:t>State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995" w14:textId="77777777" w:rsidR="00A10BC6" w:rsidRPr="00227753" w:rsidRDefault="00A10BC6" w:rsidP="00865755">
            <w:r w:rsidRPr="0022775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7753">
              <w:instrText xml:space="preserve"> FORMTEXT </w:instrText>
            </w:r>
            <w:r w:rsidRPr="00227753">
              <w:fldChar w:fldCharType="separate"/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fldChar w:fldCharType="end"/>
            </w:r>
          </w:p>
        </w:tc>
      </w:tr>
      <w:tr w:rsidR="00A10BC6" w:rsidRPr="00227753" w14:paraId="11184784" w14:textId="77777777" w:rsidTr="00A10BC6">
        <w:tc>
          <w:tcPr>
            <w:tcW w:w="909" w:type="pct"/>
            <w:tcBorders>
              <w:right w:val="single" w:sz="4" w:space="0" w:color="auto"/>
            </w:tcBorders>
          </w:tcPr>
          <w:p w14:paraId="3E8FF5E0" w14:textId="15CC6E19" w:rsidR="00A10BC6" w:rsidRPr="00227753" w:rsidRDefault="00A10BC6" w:rsidP="00865755">
            <w:r w:rsidRPr="00227753">
              <w:t>Email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E9D" w14:textId="77777777" w:rsidR="00A10BC6" w:rsidRPr="00227753" w:rsidRDefault="00A10BC6" w:rsidP="00865755">
            <w:r w:rsidRPr="002277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7753">
              <w:instrText xml:space="preserve"> FORMTEXT </w:instrText>
            </w:r>
            <w:r w:rsidRPr="00227753">
              <w:fldChar w:fldCharType="separate"/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t> </w:t>
            </w:r>
            <w:r w:rsidRPr="00227753">
              <w:fldChar w:fldCharType="end"/>
            </w:r>
          </w:p>
        </w:tc>
      </w:tr>
    </w:tbl>
    <w:p w14:paraId="0946D887" w14:textId="77777777" w:rsidR="00A10BC6" w:rsidRDefault="00A10BC6" w:rsidP="0059438B"/>
    <w:p w14:paraId="5C066F79" w14:textId="77777777" w:rsidR="003F025A" w:rsidRPr="003F025A" w:rsidRDefault="009A459F" w:rsidP="003F025A">
      <w:pPr>
        <w:pStyle w:val="ListParagraph"/>
        <w:numPr>
          <w:ilvl w:val="0"/>
          <w:numId w:val="20"/>
        </w:numPr>
      </w:pPr>
      <w:r>
        <w:t xml:space="preserve"> </w:t>
      </w:r>
      <w:r w:rsidR="003F025A" w:rsidRPr="003F025A">
        <w:t xml:space="preserve">Failure to use EIV in its entirety will result in: </w:t>
      </w:r>
    </w:p>
    <w:p w14:paraId="7DEF4FEB" w14:textId="77777777" w:rsidR="003F025A" w:rsidRPr="003F025A" w:rsidRDefault="003F025A" w:rsidP="003F025A">
      <w:pPr>
        <w:pStyle w:val="ListParagraph"/>
        <w:numPr>
          <w:ilvl w:val="0"/>
          <w:numId w:val="47"/>
        </w:numPr>
      </w:pPr>
      <w:r w:rsidRPr="003F02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025A">
        <w:instrText xml:space="preserve"> FORMCHECKBOX </w:instrText>
      </w:r>
      <w:r w:rsidR="007A4E5A">
        <w:fldChar w:fldCharType="separate"/>
      </w:r>
      <w:r w:rsidRPr="003F025A">
        <w:fldChar w:fldCharType="end"/>
      </w:r>
      <w:r w:rsidRPr="003F025A">
        <w:t xml:space="preserve">  A 5% monthly penalty based on the monthly voucher request </w:t>
      </w:r>
    </w:p>
    <w:p w14:paraId="60D9D7D7" w14:textId="77777777" w:rsidR="003F025A" w:rsidRPr="003F025A" w:rsidRDefault="003F025A" w:rsidP="003F025A">
      <w:pPr>
        <w:pStyle w:val="ListParagraph"/>
        <w:numPr>
          <w:ilvl w:val="0"/>
          <w:numId w:val="47"/>
        </w:numPr>
      </w:pPr>
      <w:r w:rsidRPr="003F02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025A">
        <w:instrText xml:space="preserve"> FORMCHECKBOX </w:instrText>
      </w:r>
      <w:r w:rsidR="007A4E5A">
        <w:fldChar w:fldCharType="separate"/>
      </w:r>
      <w:r w:rsidRPr="003F025A">
        <w:fldChar w:fldCharType="end"/>
      </w:r>
      <w:r w:rsidRPr="003F025A">
        <w:t xml:space="preserve">  A 5% penalty based on the monthly voucher request, but that 5% will be returned once the owner/agent begins using the EIV reports as required</w:t>
      </w:r>
    </w:p>
    <w:p w14:paraId="203A3B7C" w14:textId="77777777" w:rsidR="003F025A" w:rsidRPr="003F025A" w:rsidRDefault="003F025A" w:rsidP="003F025A">
      <w:pPr>
        <w:pStyle w:val="ListParagraph"/>
        <w:numPr>
          <w:ilvl w:val="0"/>
          <w:numId w:val="47"/>
        </w:numPr>
      </w:pPr>
      <w:r w:rsidRPr="003F02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025A">
        <w:instrText xml:space="preserve"> FORMCHECKBOX </w:instrText>
      </w:r>
      <w:r w:rsidR="007A4E5A">
        <w:fldChar w:fldCharType="separate"/>
      </w:r>
      <w:r w:rsidRPr="003F025A">
        <w:fldChar w:fldCharType="end"/>
      </w:r>
      <w:r w:rsidRPr="003F025A">
        <w:t xml:space="preserve">  Use of EIV is optional</w:t>
      </w:r>
    </w:p>
    <w:p w14:paraId="7508B87E" w14:textId="573C9CDD" w:rsidR="003F025A" w:rsidRDefault="003F025A" w:rsidP="003F025A">
      <w:pPr>
        <w:pStyle w:val="ListParagraph"/>
        <w:numPr>
          <w:ilvl w:val="0"/>
          <w:numId w:val="47"/>
        </w:numPr>
      </w:pPr>
      <w:r w:rsidRPr="003F02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025A">
        <w:instrText xml:space="preserve"> FORMCHECKBOX </w:instrText>
      </w:r>
      <w:r w:rsidR="007A4E5A">
        <w:fldChar w:fldCharType="separate"/>
      </w:r>
      <w:r w:rsidRPr="003F025A">
        <w:fldChar w:fldCharType="end"/>
      </w:r>
      <w:r w:rsidRPr="003F025A">
        <w:t xml:space="preserve">  A misdemeanor</w:t>
      </w:r>
    </w:p>
    <w:p w14:paraId="4B5ABA3A" w14:textId="77777777" w:rsidR="003F025A" w:rsidRPr="003F025A" w:rsidRDefault="003F025A" w:rsidP="003F025A"/>
    <w:p w14:paraId="11B3BE40" w14:textId="52565636" w:rsidR="00A10BC6" w:rsidRDefault="009A459F" w:rsidP="00A10BC6">
      <w:pPr>
        <w:pStyle w:val="ListParagraph"/>
        <w:numPr>
          <w:ilvl w:val="0"/>
          <w:numId w:val="20"/>
        </w:numPr>
      </w:pPr>
      <w:r>
        <w:t>During the Management &amp; Occupancy Review, a reviewer will ask for: (Please check all that apply)</w:t>
      </w:r>
    </w:p>
    <w:p w14:paraId="384551FF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Your EIV Use Policy</w:t>
      </w:r>
    </w:p>
    <w:p w14:paraId="566771F0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Your EIV Security Policy</w:t>
      </w:r>
    </w:p>
    <w:p w14:paraId="598AD6E8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Cyber Awareness Challenge Training Completion Certificates for all staff</w:t>
      </w:r>
    </w:p>
    <w:p w14:paraId="3E637080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Cyber Awareness Challenge Training Completion Certificates for all staff with access to EIV or TRACS</w:t>
      </w:r>
    </w:p>
    <w:p w14:paraId="07DFBFC3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Cyber Awareness Challenge Training Completion Certificates for all staff with access to tenant files</w:t>
      </w:r>
    </w:p>
    <w:p w14:paraId="2DCC467A" w14:textId="341C9FAC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A copy of the original Coordinator Access Authorization </w:t>
      </w:r>
      <w:r w:rsidR="00D72A2A">
        <w:rPr>
          <w:rFonts w:ascii="Times New Roman" w:hAnsi="Times New Roman"/>
        </w:rPr>
        <w:t>F</w:t>
      </w:r>
      <w:r>
        <w:rPr>
          <w:rFonts w:ascii="Times New Roman" w:hAnsi="Times New Roman"/>
        </w:rPr>
        <w:t>orm for system coordinators</w:t>
      </w:r>
    </w:p>
    <w:p w14:paraId="10B8775C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A copy of a letter from the property owner stating that the coordinator(s) has a right to access EIV and give others access to EIV </w:t>
      </w:r>
      <w:r>
        <w:rPr>
          <w:rFonts w:ascii="Times New Roman" w:hAnsi="Times New Roman"/>
          <w:i/>
        </w:rPr>
        <w:t>(unless the owner is the coordinator)</w:t>
      </w:r>
    </w:p>
    <w:p w14:paraId="0FC7D160" w14:textId="02ABBED3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A copy of the original User Access Authorization </w:t>
      </w:r>
      <w:r w:rsidR="00D72A2A">
        <w:rPr>
          <w:rFonts w:ascii="Times New Roman" w:hAnsi="Times New Roman"/>
        </w:rPr>
        <w:t>F</w:t>
      </w:r>
      <w:r>
        <w:rPr>
          <w:rFonts w:ascii="Times New Roman" w:hAnsi="Times New Roman"/>
        </w:rPr>
        <w:t>orm for system Users</w:t>
      </w:r>
    </w:p>
    <w:p w14:paraId="7FB81841" w14:textId="716447B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A copy of the most recent Coordinator/User Access Authorization forms</w:t>
      </w:r>
      <w:r w:rsidR="00D72A2A">
        <w:rPr>
          <w:rFonts w:ascii="Times New Roman" w:hAnsi="Times New Roman"/>
        </w:rPr>
        <w:t xml:space="preserve"> </w:t>
      </w:r>
      <w:bookmarkStart w:id="0" w:name="_Hlk46847093"/>
      <w:r w:rsidR="00D72A2A">
        <w:rPr>
          <w:rFonts w:ascii="Times New Roman" w:hAnsi="Times New Roman"/>
        </w:rPr>
        <w:t>(electronic versions stored in EIV)</w:t>
      </w:r>
    </w:p>
    <w:bookmarkEnd w:id="0"/>
    <w:p w14:paraId="54876149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The Master File for the last three years</w:t>
      </w:r>
    </w:p>
    <w:p w14:paraId="68AC081B" w14:textId="77777777" w:rsidR="009A459F" w:rsidRDefault="009A459F" w:rsidP="009A459F">
      <w:pPr>
        <w:pStyle w:val="ListParagraph"/>
        <w:numPr>
          <w:ilvl w:val="0"/>
          <w:numId w:val="21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A copy of the records showing how EIV reports were destroyed</w:t>
      </w:r>
    </w:p>
    <w:p w14:paraId="2ABFE4CD" w14:textId="77777777" w:rsidR="009A459F" w:rsidRDefault="009A459F" w:rsidP="009A459F"/>
    <w:p w14:paraId="1EB96304" w14:textId="77777777" w:rsidR="00503840" w:rsidRDefault="00503840" w:rsidP="00503840">
      <w:pPr>
        <w:pStyle w:val="ListParagraph"/>
        <w:numPr>
          <w:ilvl w:val="0"/>
          <w:numId w:val="20"/>
        </w:numPr>
      </w:pPr>
      <w:r>
        <w:t xml:space="preserve">Everyone with access to EIV must have a copy (electronic or paper) of the original paper Coordinator Access Authorization Form (CAAF) signed by HUD or the User Access Authorization Form (UAAF).  </w:t>
      </w:r>
    </w:p>
    <w:p w14:paraId="4918626D" w14:textId="77777777" w:rsidR="00503840" w:rsidRDefault="00503840" w:rsidP="00503840"/>
    <w:p w14:paraId="4784BE7F" w14:textId="77777777" w:rsidR="00503840" w:rsidRDefault="00503840" w:rsidP="0050384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2706895B" w14:textId="77777777" w:rsidR="009A459F" w:rsidRDefault="009A459F" w:rsidP="009A459F"/>
    <w:p w14:paraId="40D01DA2" w14:textId="22336146" w:rsidR="009A459F" w:rsidRDefault="009A459F" w:rsidP="009A459F">
      <w:pPr>
        <w:pStyle w:val="ListParagraph"/>
        <w:numPr>
          <w:ilvl w:val="0"/>
          <w:numId w:val="20"/>
        </w:numPr>
      </w:pPr>
      <w:r>
        <w:t>When processing a new move-in</w:t>
      </w:r>
      <w:r w:rsidR="00D968EE">
        <w:t>,</w:t>
      </w:r>
      <w:r>
        <w:t xml:space="preserve"> OAs must run the </w:t>
      </w:r>
      <w:r>
        <w:rPr>
          <w:i/>
        </w:rPr>
        <w:t>Existing Tenant Search</w:t>
      </w:r>
      <w:r>
        <w:t xml:space="preserve"> for all household members including minors and live-in aides</w:t>
      </w:r>
      <w:r w:rsidR="00D72A2A">
        <w:t xml:space="preserve"> before move-in</w:t>
      </w:r>
      <w:r>
        <w:t>.</w:t>
      </w:r>
    </w:p>
    <w:p w14:paraId="0B0DA4D3" w14:textId="77777777" w:rsidR="009A459F" w:rsidRDefault="009A459F" w:rsidP="009A459F"/>
    <w:p w14:paraId="2578E561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4EB8A07E" w14:textId="77777777" w:rsidR="009A459F" w:rsidRDefault="009A459F" w:rsidP="00D968EE">
      <w:pPr>
        <w:rPr>
          <w:rFonts w:ascii="Book Antiqua" w:hAnsi="Book Antiqua"/>
          <w:i/>
          <w:color w:val="3333FF"/>
        </w:rPr>
      </w:pPr>
    </w:p>
    <w:p w14:paraId="1B55A7D1" w14:textId="77777777" w:rsidR="003F025A" w:rsidRDefault="003F025A">
      <w:pPr>
        <w:spacing w:after="160" w:line="259" w:lineRule="auto"/>
      </w:pPr>
      <w:r>
        <w:br w:type="page"/>
      </w:r>
    </w:p>
    <w:p w14:paraId="7FA531E3" w14:textId="2A04F5C7" w:rsidR="00A10BC6" w:rsidRDefault="009A459F" w:rsidP="00A10BC6">
      <w:pPr>
        <w:pStyle w:val="ListParagraph"/>
        <w:numPr>
          <w:ilvl w:val="0"/>
          <w:numId w:val="20"/>
        </w:numPr>
      </w:pPr>
      <w:r>
        <w:lastRenderedPageBreak/>
        <w:t xml:space="preserve">If an applicant appears on the </w:t>
      </w:r>
      <w:r>
        <w:rPr>
          <w:i/>
        </w:rPr>
        <w:t xml:space="preserve">Existing Tenant </w:t>
      </w:r>
      <w:r w:rsidR="00503840">
        <w:rPr>
          <w:i/>
        </w:rPr>
        <w:t>Search</w:t>
      </w:r>
      <w:r>
        <w:t xml:space="preserve"> and currently lives in another subsidized unit, the OA should:</w:t>
      </w:r>
    </w:p>
    <w:p w14:paraId="26C27BE2" w14:textId="77777777" w:rsidR="009A459F" w:rsidRDefault="009A459F" w:rsidP="009A459F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Reject the applicant</w:t>
      </w:r>
    </w:p>
    <w:p w14:paraId="0E175D34" w14:textId="77777777" w:rsidR="009A459F" w:rsidRDefault="009A459F" w:rsidP="009A459F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Notify the applicant that current subsidy must stop before </w:t>
      </w:r>
      <w:r w:rsidR="00503840">
        <w:rPr>
          <w:rFonts w:ascii="Times New Roman" w:hAnsi="Times New Roman"/>
        </w:rPr>
        <w:t xml:space="preserve">they are eligible to receive </w:t>
      </w:r>
      <w:r>
        <w:rPr>
          <w:rFonts w:ascii="Times New Roman" w:hAnsi="Times New Roman"/>
        </w:rPr>
        <w:t>subsidy on your property</w:t>
      </w:r>
    </w:p>
    <w:p w14:paraId="315F4E09" w14:textId="77777777" w:rsidR="009A459F" w:rsidRDefault="009A459F" w:rsidP="009A459F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Notify the applicant that they have to move out of their current unit before they can apply to live on your property</w:t>
      </w:r>
    </w:p>
    <w:p w14:paraId="5CF0CBF2" w14:textId="2AC8DEF3" w:rsidR="009A459F" w:rsidRDefault="00503840" w:rsidP="003F025A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 do not have to contact the applicant.  Just notify the other property manager that the applicant will be moving to your property</w:t>
      </w:r>
    </w:p>
    <w:p w14:paraId="771DD462" w14:textId="77777777" w:rsidR="003F025A" w:rsidRPr="003F025A" w:rsidRDefault="003F025A" w:rsidP="003F025A">
      <w:pPr>
        <w:spacing w:line="276" w:lineRule="auto"/>
        <w:rPr>
          <w:rFonts w:ascii="Times New Roman" w:hAnsi="Times New Roman"/>
        </w:rPr>
      </w:pPr>
    </w:p>
    <w:p w14:paraId="13B39E8E" w14:textId="0F22E847" w:rsidR="009A459F" w:rsidRDefault="009A459F" w:rsidP="009A459F">
      <w:pPr>
        <w:pStyle w:val="ListParagraph"/>
        <w:numPr>
          <w:ilvl w:val="0"/>
          <w:numId w:val="20"/>
        </w:numPr>
      </w:pPr>
      <w:r>
        <w:t>There is no exception to the rule that a resident may receive subsidy in only one unit.</w:t>
      </w:r>
    </w:p>
    <w:p w14:paraId="6CD67AD6" w14:textId="77777777" w:rsidR="009A459F" w:rsidRDefault="009A459F" w:rsidP="009A459F"/>
    <w:p w14:paraId="7B3347FE" w14:textId="5C4CDDFA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0BECABB8" w14:textId="11847AE7" w:rsidR="00D968EE" w:rsidRDefault="00D968EE" w:rsidP="009A459F">
      <w:pPr>
        <w:ind w:left="360"/>
        <w:rPr>
          <w:rFonts w:ascii="Times New Roman" w:hAnsi="Times New Roman"/>
        </w:rPr>
      </w:pPr>
    </w:p>
    <w:p w14:paraId="33B5C0F2" w14:textId="30EB222D" w:rsidR="00D968EE" w:rsidRPr="00D968EE" w:rsidRDefault="00D968EE" w:rsidP="003F025A">
      <w:pPr>
        <w:numPr>
          <w:ilvl w:val="0"/>
          <w:numId w:val="20"/>
        </w:numPr>
        <w:rPr>
          <w:rFonts w:ascii="Times New Roman" w:hAnsi="Times New Roman"/>
        </w:rPr>
      </w:pPr>
      <w:r w:rsidRPr="00D968EE">
        <w:rPr>
          <w:rFonts w:ascii="Times New Roman" w:hAnsi="Times New Roman"/>
          <w:b/>
        </w:rPr>
        <w:t>HUD rules</w:t>
      </w:r>
      <w:r w:rsidRPr="00D968EE">
        <w:rPr>
          <w:rFonts w:ascii="Times New Roman" w:hAnsi="Times New Roman"/>
        </w:rPr>
        <w:t xml:space="preserve"> indicate that the EIV </w:t>
      </w:r>
      <w:r w:rsidRPr="00D968EE">
        <w:rPr>
          <w:rFonts w:ascii="Times New Roman" w:hAnsi="Times New Roman"/>
          <w:i/>
        </w:rPr>
        <w:t>Identity Verification Reports</w:t>
      </w:r>
      <w:r w:rsidRPr="00D968EE">
        <w:rPr>
          <w:rFonts w:ascii="Times New Roman" w:hAnsi="Times New Roman"/>
        </w:rPr>
        <w:t xml:space="preserve"> (</w:t>
      </w:r>
      <w:r w:rsidRPr="00D968EE">
        <w:rPr>
          <w:rFonts w:ascii="Times New Roman" w:hAnsi="Times New Roman"/>
          <w:i/>
        </w:rPr>
        <w:t>Failed Pre-Screening/Failed Verification</w:t>
      </w:r>
      <w:r w:rsidRPr="00D968EE">
        <w:rPr>
          <w:rFonts w:ascii="Times New Roman" w:hAnsi="Times New Roman"/>
        </w:rPr>
        <w:t>) must be run:</w:t>
      </w:r>
    </w:p>
    <w:p w14:paraId="5EB7D609" w14:textId="77777777" w:rsidR="00D968EE" w:rsidRPr="00D968EE" w:rsidRDefault="00D968EE" w:rsidP="00D968EE">
      <w:pPr>
        <w:numPr>
          <w:ilvl w:val="0"/>
          <w:numId w:val="31"/>
        </w:numPr>
        <w:rPr>
          <w:rFonts w:ascii="Times New Roman" w:hAnsi="Times New Roman"/>
        </w:rPr>
      </w:pPr>
      <w:r w:rsidRPr="00D968EE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68EE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D968EE">
        <w:rPr>
          <w:rFonts w:ascii="Times New Roman" w:hAnsi="Times New Roman"/>
        </w:rPr>
        <w:fldChar w:fldCharType="end"/>
      </w:r>
      <w:r w:rsidRPr="00D968EE">
        <w:rPr>
          <w:rFonts w:ascii="Times New Roman" w:hAnsi="Times New Roman"/>
        </w:rPr>
        <w:t xml:space="preserve">  Every Month  </w:t>
      </w:r>
    </w:p>
    <w:p w14:paraId="4D9AF41B" w14:textId="77777777" w:rsidR="00D968EE" w:rsidRPr="00D968EE" w:rsidRDefault="00D968EE" w:rsidP="00D968EE">
      <w:pPr>
        <w:numPr>
          <w:ilvl w:val="0"/>
          <w:numId w:val="31"/>
        </w:numPr>
        <w:rPr>
          <w:rFonts w:ascii="Times New Roman" w:hAnsi="Times New Roman"/>
        </w:rPr>
      </w:pPr>
      <w:r w:rsidRPr="00D968EE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68EE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D968EE">
        <w:rPr>
          <w:rFonts w:ascii="Times New Roman" w:hAnsi="Times New Roman"/>
        </w:rPr>
        <w:fldChar w:fldCharType="end"/>
      </w:r>
      <w:r w:rsidRPr="00D968EE">
        <w:rPr>
          <w:rFonts w:ascii="Times New Roman" w:hAnsi="Times New Roman"/>
        </w:rPr>
        <w:t xml:space="preserve">  Every Quarter unless EIV policy indicated more frequent review  </w:t>
      </w:r>
    </w:p>
    <w:p w14:paraId="4C938BAC" w14:textId="77777777" w:rsidR="00D968EE" w:rsidRPr="00D968EE" w:rsidRDefault="00D968EE" w:rsidP="00D968EE">
      <w:pPr>
        <w:numPr>
          <w:ilvl w:val="0"/>
          <w:numId w:val="31"/>
        </w:numPr>
        <w:rPr>
          <w:rFonts w:ascii="Times New Roman" w:hAnsi="Times New Roman"/>
        </w:rPr>
      </w:pPr>
      <w:r w:rsidRPr="00D968EE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68EE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D968EE">
        <w:rPr>
          <w:rFonts w:ascii="Times New Roman" w:hAnsi="Times New Roman"/>
        </w:rPr>
        <w:fldChar w:fldCharType="end"/>
      </w:r>
      <w:r w:rsidRPr="00D968EE">
        <w:rPr>
          <w:rFonts w:ascii="Times New Roman" w:hAnsi="Times New Roman"/>
        </w:rPr>
        <w:t xml:space="preserve">  90 Days after any New MI  </w:t>
      </w:r>
    </w:p>
    <w:p w14:paraId="5362137C" w14:textId="77777777" w:rsidR="00D968EE" w:rsidRPr="00D968EE" w:rsidRDefault="00D968EE" w:rsidP="00D968EE">
      <w:pPr>
        <w:numPr>
          <w:ilvl w:val="0"/>
          <w:numId w:val="31"/>
        </w:numPr>
        <w:rPr>
          <w:rFonts w:ascii="Times New Roman" w:hAnsi="Times New Roman"/>
        </w:rPr>
      </w:pPr>
      <w:r w:rsidRPr="00D968EE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68EE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D968EE">
        <w:rPr>
          <w:rFonts w:ascii="Times New Roman" w:hAnsi="Times New Roman"/>
        </w:rPr>
        <w:fldChar w:fldCharType="end"/>
      </w:r>
      <w:r w:rsidRPr="00D968EE">
        <w:rPr>
          <w:rFonts w:ascii="Times New Roman" w:hAnsi="Times New Roman"/>
        </w:rPr>
        <w:t xml:space="preserve">  During an AR or IR</w:t>
      </w:r>
    </w:p>
    <w:p w14:paraId="795DDCF9" w14:textId="77777777" w:rsidR="009A459F" w:rsidRDefault="009A459F" w:rsidP="009A459F"/>
    <w:p w14:paraId="2D125A03" w14:textId="77777777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If a resident appears on the </w:t>
      </w:r>
      <w:r>
        <w:rPr>
          <w:i/>
        </w:rPr>
        <w:t>New Hires Report</w:t>
      </w:r>
      <w:r>
        <w:t>, this always means that a resident has gotten a job but has not told you about the job.</w:t>
      </w:r>
    </w:p>
    <w:p w14:paraId="3413FD22" w14:textId="77777777" w:rsidR="009A459F" w:rsidRDefault="009A459F" w:rsidP="009A459F"/>
    <w:p w14:paraId="7DE2C53C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3E8998AB" w14:textId="77777777" w:rsidR="009A459F" w:rsidRDefault="009A459F" w:rsidP="009A459F">
      <w:pPr>
        <w:ind w:left="360"/>
      </w:pPr>
    </w:p>
    <w:p w14:paraId="3FB2A453" w14:textId="77777777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In the case of the death of a sole household member, owner/agents </w:t>
      </w:r>
      <w:r>
        <w:rPr>
          <w:u w:val="single"/>
        </w:rPr>
        <w:t>must</w:t>
      </w:r>
      <w:r>
        <w:t xml:space="preserve"> create a move-out transaction effective within 14 days after the date of death.</w:t>
      </w:r>
    </w:p>
    <w:p w14:paraId="4356D394" w14:textId="77777777" w:rsidR="009A459F" w:rsidRDefault="009A459F" w:rsidP="009A459F"/>
    <w:p w14:paraId="74FF9CEB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42F760FD" w14:textId="77777777" w:rsidR="009A459F" w:rsidRDefault="009A459F" w:rsidP="009A459F"/>
    <w:p w14:paraId="2750A6C0" w14:textId="1C02F312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In the case of the death of a HOH, and when other adult household members remain in the unit, owner/agents must create an </w:t>
      </w:r>
      <w:r w:rsidR="00D72A2A">
        <w:t>I</w:t>
      </w:r>
      <w:r>
        <w:t xml:space="preserve">nterim </w:t>
      </w:r>
      <w:r w:rsidR="00D72A2A">
        <w:t>Re</w:t>
      </w:r>
      <w:r>
        <w:t>certification effective within 14 days after the date of death.</w:t>
      </w:r>
    </w:p>
    <w:p w14:paraId="5C19C93F" w14:textId="77777777" w:rsidR="009A459F" w:rsidRDefault="009A459F" w:rsidP="009A459F"/>
    <w:p w14:paraId="644A6A40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False</w:t>
      </w:r>
    </w:p>
    <w:p w14:paraId="15DAF677" w14:textId="77777777" w:rsidR="00647D78" w:rsidRDefault="00647D78" w:rsidP="009A459F">
      <w:pPr>
        <w:ind w:left="360"/>
        <w:rPr>
          <w:rFonts w:ascii="Times New Roman" w:hAnsi="Times New Roman"/>
        </w:rPr>
      </w:pPr>
    </w:p>
    <w:p w14:paraId="7FEA5B48" w14:textId="20002AEB" w:rsidR="00A10BC6" w:rsidRPr="00647D78" w:rsidRDefault="00647D78" w:rsidP="00A10BC6">
      <w:pPr>
        <w:pStyle w:val="ListParagraph"/>
        <w:numPr>
          <w:ilvl w:val="0"/>
          <w:numId w:val="20"/>
        </w:numPr>
      </w:pPr>
      <w:r>
        <w:t>If you get a message stating that “No 50059 data found in TRACS for SSN xxxxxxxxx, this means that there is a problem in TRACS.  You should:</w:t>
      </w:r>
    </w:p>
    <w:p w14:paraId="57BF0203" w14:textId="77777777" w:rsidR="00647D78" w:rsidRPr="00647D78" w:rsidRDefault="00647D78" w:rsidP="00647D7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Check TRACS and make sure the 50059 has been recorded and is correct</w:t>
      </w:r>
    </w:p>
    <w:p w14:paraId="55BD0C2C" w14:textId="77777777" w:rsidR="00647D78" w:rsidRPr="00647D78" w:rsidRDefault="00647D78" w:rsidP="00647D7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There is nothing you can do</w:t>
      </w:r>
      <w:r w:rsidRPr="00647D78">
        <w:rPr>
          <w:rFonts w:ascii="Times New Roman" w:hAnsi="Times New Roman"/>
        </w:rPr>
        <w:t xml:space="preserve">  </w:t>
      </w:r>
    </w:p>
    <w:p w14:paraId="5088E114" w14:textId="77777777" w:rsidR="00647D78" w:rsidRPr="00647D78" w:rsidRDefault="00647D78" w:rsidP="00647D7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Ignore the message </w:t>
      </w:r>
    </w:p>
    <w:p w14:paraId="2E2FA817" w14:textId="77777777" w:rsidR="00647D78" w:rsidRPr="00647D78" w:rsidRDefault="00647D78" w:rsidP="00647D78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Call your software vendor</w:t>
      </w:r>
    </w:p>
    <w:p w14:paraId="75503C70" w14:textId="77777777" w:rsidR="009A459F" w:rsidRDefault="009A459F" w:rsidP="009A459F"/>
    <w:p w14:paraId="58384B08" w14:textId="0C05384E" w:rsidR="00A10BC6" w:rsidRDefault="0059438B" w:rsidP="00A10BC6">
      <w:pPr>
        <w:pStyle w:val="ListParagraph"/>
        <w:numPr>
          <w:ilvl w:val="0"/>
          <w:numId w:val="20"/>
        </w:numPr>
      </w:pPr>
      <w:r w:rsidRPr="0059438B">
        <w:rPr>
          <w:bCs/>
        </w:rPr>
        <w:t>When a new family moves in or a new member is added to an existing household</w:t>
      </w:r>
      <w:r>
        <w:rPr>
          <w:b/>
        </w:rPr>
        <w:t xml:space="preserve">, </w:t>
      </w:r>
      <w:r w:rsidR="009A459F">
        <w:rPr>
          <w:b/>
        </w:rPr>
        <w:t>HUD rules</w:t>
      </w:r>
      <w:r w:rsidR="009A459F">
        <w:t xml:space="preserve"> indicate that the </w:t>
      </w:r>
      <w:r w:rsidR="009A459F">
        <w:rPr>
          <w:i/>
        </w:rPr>
        <w:t>EIV Income Report</w:t>
      </w:r>
      <w:r w:rsidR="009A459F">
        <w:t xml:space="preserve"> must be run:</w:t>
      </w:r>
    </w:p>
    <w:p w14:paraId="20081A1D" w14:textId="77777777" w:rsidR="00647D78" w:rsidRPr="00647D78" w:rsidRDefault="009A459F" w:rsidP="00647D7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Every Month  </w:t>
      </w:r>
    </w:p>
    <w:p w14:paraId="71DE9B4E" w14:textId="77777777" w:rsidR="009A459F" w:rsidRPr="00647D78" w:rsidRDefault="009A459F" w:rsidP="00647D7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Every Quarter unless your policy indicated more frequent review  </w:t>
      </w:r>
    </w:p>
    <w:p w14:paraId="03F8F833" w14:textId="77777777" w:rsidR="00647D78" w:rsidRPr="00647D78" w:rsidRDefault="009A459F" w:rsidP="00647D78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 w:rsidRPr="00647D78">
        <w:rPr>
          <w:rFonts w:ascii="Times New Roman" w:hAnsi="Times New Roman"/>
          <w:u w:val="single"/>
        </w:rPr>
        <w:t>Exactly</w:t>
      </w:r>
      <w:r w:rsidRPr="00647D78">
        <w:rPr>
          <w:rFonts w:ascii="Times New Roman" w:hAnsi="Times New Roman"/>
        </w:rPr>
        <w:t xml:space="preserve"> 90 Days after any New MI  </w:t>
      </w:r>
    </w:p>
    <w:p w14:paraId="6C0268CF" w14:textId="7C0F1D4A" w:rsidR="009A459F" w:rsidRDefault="009A459F" w:rsidP="00A10BC6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 w:rsidR="00503840" w:rsidRPr="00647D78">
        <w:rPr>
          <w:rFonts w:ascii="Times New Roman" w:hAnsi="Times New Roman"/>
        </w:rPr>
        <w:t>Within 90 days of transmission of a MI and as part of the AR or IR process</w:t>
      </w:r>
    </w:p>
    <w:p w14:paraId="6AE395D1" w14:textId="77777777" w:rsidR="00A10BC6" w:rsidRPr="00A10BC6" w:rsidRDefault="00A10BC6" w:rsidP="00A10BC6">
      <w:pPr>
        <w:spacing w:line="276" w:lineRule="auto"/>
        <w:rPr>
          <w:rFonts w:ascii="Times New Roman" w:hAnsi="Times New Roman"/>
        </w:rPr>
      </w:pPr>
    </w:p>
    <w:p w14:paraId="0FCC327F" w14:textId="4C5863E2" w:rsidR="00A10BC6" w:rsidRDefault="009A459F" w:rsidP="00A10BC6">
      <w:pPr>
        <w:pStyle w:val="ListParagraph"/>
        <w:numPr>
          <w:ilvl w:val="0"/>
          <w:numId w:val="20"/>
        </w:numPr>
      </w:pPr>
      <w:r>
        <w:rPr>
          <w:b/>
        </w:rPr>
        <w:lastRenderedPageBreak/>
        <w:t>HUD rules</w:t>
      </w:r>
      <w:r>
        <w:t xml:space="preserve"> indicate that the </w:t>
      </w:r>
      <w:r>
        <w:rPr>
          <w:i/>
        </w:rPr>
        <w:t>EIV Income Discrepancy Report</w:t>
      </w:r>
      <w:r>
        <w:t xml:space="preserve"> must be run:</w:t>
      </w:r>
    </w:p>
    <w:p w14:paraId="2D675E05" w14:textId="77777777" w:rsidR="00647D78" w:rsidRPr="00647D78" w:rsidRDefault="009A459F" w:rsidP="00A10BC6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Every Month  </w:t>
      </w:r>
    </w:p>
    <w:p w14:paraId="718EA641" w14:textId="77777777" w:rsidR="009A459F" w:rsidRPr="00647D78" w:rsidRDefault="009A459F" w:rsidP="00647D7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Every Quarter unless your policy indicates more frequent review  </w:t>
      </w:r>
    </w:p>
    <w:p w14:paraId="088CED8C" w14:textId="77777777" w:rsidR="00647D78" w:rsidRPr="00647D78" w:rsidRDefault="009A459F" w:rsidP="00647D7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 w:rsidRPr="00647D78">
        <w:rPr>
          <w:rFonts w:ascii="Times New Roman" w:hAnsi="Times New Roman"/>
          <w:u w:val="single"/>
        </w:rPr>
        <w:t>Exactly</w:t>
      </w:r>
      <w:r w:rsidRPr="00647D78">
        <w:rPr>
          <w:rFonts w:ascii="Times New Roman" w:hAnsi="Times New Roman"/>
        </w:rPr>
        <w:t xml:space="preserve"> 90 Days after any New MI  </w:t>
      </w:r>
    </w:p>
    <w:p w14:paraId="2181D6EC" w14:textId="6631C04B" w:rsidR="009A459F" w:rsidRDefault="009A459F" w:rsidP="00647D78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47D7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D78"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 w:rsidRPr="00647D78">
        <w:rPr>
          <w:rFonts w:ascii="Times New Roman" w:hAnsi="Times New Roman"/>
        </w:rPr>
        <w:fldChar w:fldCharType="end"/>
      </w:r>
      <w:r w:rsidRPr="00647D78">
        <w:rPr>
          <w:rFonts w:ascii="Times New Roman" w:hAnsi="Times New Roman"/>
        </w:rPr>
        <w:t xml:space="preserve">  </w:t>
      </w:r>
      <w:r w:rsidR="00503840" w:rsidRPr="00647D78">
        <w:rPr>
          <w:rFonts w:ascii="Times New Roman" w:hAnsi="Times New Roman"/>
        </w:rPr>
        <w:t>Within 90 days of transmission of a MI and as part of the AR or IR process</w:t>
      </w:r>
    </w:p>
    <w:p w14:paraId="1DAAF549" w14:textId="77777777" w:rsidR="00A10BC6" w:rsidRPr="00A10BC6" w:rsidRDefault="00A10BC6" w:rsidP="00A10BC6">
      <w:pPr>
        <w:spacing w:line="276" w:lineRule="auto"/>
        <w:rPr>
          <w:rFonts w:ascii="Times New Roman" w:hAnsi="Times New Roman"/>
        </w:rPr>
      </w:pPr>
    </w:p>
    <w:p w14:paraId="558D4329" w14:textId="5C25CB15" w:rsidR="00A10BC6" w:rsidRDefault="009A459F" w:rsidP="00A10BC6">
      <w:pPr>
        <w:pStyle w:val="ListParagraph"/>
        <w:numPr>
          <w:ilvl w:val="0"/>
          <w:numId w:val="20"/>
        </w:numPr>
      </w:pPr>
      <w:r>
        <w:rPr>
          <w:b/>
        </w:rPr>
        <w:t>For HUD programs</w:t>
      </w:r>
      <w:r>
        <w:t xml:space="preserve">, the </w:t>
      </w:r>
      <w:r>
        <w:rPr>
          <w:i/>
        </w:rPr>
        <w:t>EIV Income Report</w:t>
      </w:r>
      <w:r>
        <w:t xml:space="preserve"> can be used to verify: (choose all that apply)</w:t>
      </w:r>
    </w:p>
    <w:p w14:paraId="63547A74" w14:textId="38949EEC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Employment </w:t>
      </w:r>
    </w:p>
    <w:p w14:paraId="11311BC0" w14:textId="77777777" w:rsidR="0059438B" w:rsidRDefault="0059438B" w:rsidP="0059438B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Employment Income </w:t>
      </w:r>
      <w:r w:rsidRPr="0059438B">
        <w:rPr>
          <w:rFonts w:ascii="Times New Roman" w:hAnsi="Times New Roman"/>
        </w:rPr>
        <w:t>(for Income Discrepancies only)</w:t>
      </w:r>
    </w:p>
    <w:p w14:paraId="3AEAA2A9" w14:textId="455F70A1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Employment Income</w:t>
      </w:r>
      <w:r w:rsidR="0059438B">
        <w:rPr>
          <w:rFonts w:ascii="Times New Roman" w:hAnsi="Times New Roman"/>
        </w:rPr>
        <w:t xml:space="preserve"> </w:t>
      </w:r>
      <w:r w:rsidR="0059438B" w:rsidRPr="0059438B">
        <w:rPr>
          <w:rFonts w:ascii="Times New Roman" w:hAnsi="Times New Roman"/>
        </w:rPr>
        <w:t xml:space="preserve">(for </w:t>
      </w:r>
      <w:r w:rsidR="0059438B">
        <w:rPr>
          <w:rFonts w:ascii="Times New Roman" w:hAnsi="Times New Roman"/>
        </w:rPr>
        <w:t>all certifications</w:t>
      </w:r>
      <w:r w:rsidR="0059438B" w:rsidRPr="0059438B">
        <w:rPr>
          <w:rFonts w:ascii="Times New Roman" w:hAnsi="Times New Roman"/>
        </w:rPr>
        <w:t>)</w:t>
      </w:r>
    </w:p>
    <w:p w14:paraId="566F0429" w14:textId="72B8F485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Unemployment Income</w:t>
      </w:r>
      <w:r w:rsidR="0059438B">
        <w:rPr>
          <w:rFonts w:ascii="Times New Roman" w:hAnsi="Times New Roman"/>
        </w:rPr>
        <w:t xml:space="preserve"> </w:t>
      </w:r>
      <w:r w:rsidR="0059438B" w:rsidRPr="0059438B">
        <w:rPr>
          <w:rFonts w:ascii="Times New Roman" w:hAnsi="Times New Roman"/>
        </w:rPr>
        <w:t>(for Income Discrepancies only)</w:t>
      </w:r>
    </w:p>
    <w:p w14:paraId="746DF13A" w14:textId="71866F21" w:rsidR="0059438B" w:rsidRDefault="0059438B" w:rsidP="0059438B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Unemployment Income </w:t>
      </w:r>
      <w:r w:rsidRPr="0059438B">
        <w:rPr>
          <w:rFonts w:ascii="Times New Roman" w:hAnsi="Times New Roman"/>
        </w:rPr>
        <w:t>(for all certifications)</w:t>
      </w:r>
    </w:p>
    <w:p w14:paraId="7BFF7FC5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Social Security Income</w:t>
      </w:r>
    </w:p>
    <w:p w14:paraId="13D59178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Dual Entitlement Income</w:t>
      </w:r>
    </w:p>
    <w:p w14:paraId="033A6776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Survivors Benefits (Income)</w:t>
      </w:r>
    </w:p>
    <w:p w14:paraId="729FDC8D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SSI Income</w:t>
      </w:r>
    </w:p>
    <w:p w14:paraId="79DD0063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Medicare Part B Expense</w:t>
      </w:r>
    </w:p>
    <w:p w14:paraId="2E64CDC7" w14:textId="77777777" w:rsidR="009A459F" w:rsidRDefault="009A459F" w:rsidP="009A459F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Disability</w:t>
      </w:r>
    </w:p>
    <w:p w14:paraId="6C370FDA" w14:textId="77777777" w:rsidR="009A459F" w:rsidRDefault="009A459F" w:rsidP="009A459F">
      <w:pPr>
        <w:pStyle w:val="ListParagraph"/>
      </w:pPr>
    </w:p>
    <w:p w14:paraId="1767FFC1" w14:textId="77777777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If there is an </w:t>
      </w:r>
      <w:r>
        <w:rPr>
          <w:i/>
        </w:rPr>
        <w:t>EIV Income Discrepancy</w:t>
      </w:r>
      <w:r>
        <w:t>, property managers must always correct the appropriate certifications and require the tenant to pay any “</w:t>
      </w:r>
      <w:r w:rsidR="00F64847">
        <w:t>improper payment</w:t>
      </w:r>
      <w:r>
        <w:t>” to HUD.</w:t>
      </w:r>
    </w:p>
    <w:p w14:paraId="0BCB55C6" w14:textId="77777777" w:rsidR="009A459F" w:rsidRDefault="009A459F" w:rsidP="009A459F"/>
    <w:p w14:paraId="12A64B6C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2D2D24A2" w14:textId="77777777" w:rsidR="009A459F" w:rsidRDefault="009A459F" w:rsidP="009A459F">
      <w:pPr>
        <w:ind w:left="360"/>
      </w:pPr>
    </w:p>
    <w:p w14:paraId="37E3366A" w14:textId="77777777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Residents may have a copy of their own EIV information, but OAs </w:t>
      </w:r>
      <w:r>
        <w:rPr>
          <w:i/>
        </w:rPr>
        <w:t>should</w:t>
      </w:r>
      <w:r>
        <w:t xml:space="preserve"> document the file tenant when a copy is provided.</w:t>
      </w:r>
    </w:p>
    <w:p w14:paraId="22AB5900" w14:textId="77777777" w:rsidR="009A459F" w:rsidRDefault="009A459F" w:rsidP="009A459F">
      <w:pPr>
        <w:ind w:left="360"/>
      </w:pPr>
    </w:p>
    <w:p w14:paraId="22821C55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7485BFB8" w14:textId="77777777" w:rsidR="009A459F" w:rsidRDefault="009A459F" w:rsidP="009A459F">
      <w:pPr>
        <w:ind w:left="360"/>
      </w:pPr>
    </w:p>
    <w:p w14:paraId="4A18E3B0" w14:textId="77777777" w:rsidR="009A459F" w:rsidRDefault="009A459F" w:rsidP="009A459F">
      <w:pPr>
        <w:pStyle w:val="ListParagraph"/>
        <w:numPr>
          <w:ilvl w:val="0"/>
          <w:numId w:val="20"/>
        </w:numPr>
      </w:pPr>
      <w:r>
        <w:t xml:space="preserve">Owner/agents of </w:t>
      </w:r>
      <w:r>
        <w:rPr>
          <w:b/>
        </w:rPr>
        <w:t>HUD properties</w:t>
      </w:r>
      <w:r>
        <w:t xml:space="preserve"> (No LIHTC, 515, etc.) should continue to keep a copy of the SS Award Letter in the file even if they use EIV to verify Social Security Income.</w:t>
      </w:r>
    </w:p>
    <w:p w14:paraId="37E3BBDE" w14:textId="77777777" w:rsidR="009A459F" w:rsidRDefault="009A459F" w:rsidP="009A459F">
      <w:pPr>
        <w:ind w:left="360"/>
      </w:pPr>
    </w:p>
    <w:p w14:paraId="36AB00D3" w14:textId="77777777" w:rsidR="009A459F" w:rsidRDefault="009A459F" w:rsidP="009A45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True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False</w:t>
      </w:r>
    </w:p>
    <w:p w14:paraId="594B7BF0" w14:textId="77777777" w:rsidR="009A459F" w:rsidRDefault="009A459F" w:rsidP="009A459F">
      <w:pPr>
        <w:ind w:left="360"/>
      </w:pPr>
    </w:p>
    <w:p w14:paraId="3AEC0E5D" w14:textId="10E7FFC6" w:rsidR="0059438B" w:rsidRDefault="009A459F" w:rsidP="003F025A">
      <w:pPr>
        <w:pStyle w:val="ListParagraph"/>
        <w:numPr>
          <w:ilvl w:val="0"/>
          <w:numId w:val="20"/>
        </w:numPr>
      </w:pPr>
      <w:r>
        <w:t xml:space="preserve">HUD </w:t>
      </w:r>
      <w:r>
        <w:rPr>
          <w:b/>
          <w:u w:val="single"/>
        </w:rPr>
        <w:t>requires</w:t>
      </w:r>
      <w:r>
        <w:t xml:space="preserve"> OA to keep which reports in the </w:t>
      </w:r>
      <w:r>
        <w:rPr>
          <w:b/>
        </w:rPr>
        <w:t>Master File</w:t>
      </w:r>
      <w:r>
        <w:t>?  (choose all that apply)</w:t>
      </w:r>
    </w:p>
    <w:p w14:paraId="5548B3A8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 Income on 50059</w:t>
      </w:r>
    </w:p>
    <w:p w14:paraId="61210434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Identity Verification (Failed Pre-Screening/Failed Verification)</w:t>
      </w:r>
    </w:p>
    <w:p w14:paraId="4AAB265E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Income Detail</w:t>
      </w:r>
    </w:p>
    <w:p w14:paraId="22EBB812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Income Summary</w:t>
      </w:r>
    </w:p>
    <w:p w14:paraId="48014ECC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Income Discrepancy</w:t>
      </w:r>
    </w:p>
    <w:p w14:paraId="7538D427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Deceased Tenant</w:t>
      </w:r>
    </w:p>
    <w:p w14:paraId="202FD986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New Hires</w:t>
      </w:r>
    </w:p>
    <w:p w14:paraId="66B8BF2C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Multiple Subsidy</w:t>
      </w:r>
    </w:p>
    <w:p w14:paraId="588ADE7D" w14:textId="77777777" w:rsidR="009A459F" w:rsidRDefault="009A459F" w:rsidP="009A459F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Existing Tenant Search</w:t>
      </w:r>
    </w:p>
    <w:p w14:paraId="628643A4" w14:textId="77777777" w:rsidR="009A459F" w:rsidRDefault="009A459F" w:rsidP="009A459F">
      <w:pPr>
        <w:ind w:left="360"/>
      </w:pPr>
    </w:p>
    <w:p w14:paraId="4DC23855" w14:textId="77777777" w:rsidR="003F025A" w:rsidRDefault="003F025A">
      <w:pPr>
        <w:spacing w:after="160" w:line="259" w:lineRule="auto"/>
      </w:pPr>
      <w:r>
        <w:br w:type="page"/>
      </w:r>
    </w:p>
    <w:p w14:paraId="6A7F61FE" w14:textId="4013AC35" w:rsidR="0059438B" w:rsidRDefault="009A459F" w:rsidP="003F025A">
      <w:pPr>
        <w:pStyle w:val="ListParagraph"/>
        <w:numPr>
          <w:ilvl w:val="0"/>
          <w:numId w:val="20"/>
        </w:numPr>
      </w:pPr>
      <w:r>
        <w:lastRenderedPageBreak/>
        <w:t xml:space="preserve">HUD </w:t>
      </w:r>
      <w:r>
        <w:rPr>
          <w:b/>
          <w:u w:val="single"/>
        </w:rPr>
        <w:t>requires</w:t>
      </w:r>
      <w:r>
        <w:t xml:space="preserve"> OA to keep which reports in the </w:t>
      </w:r>
      <w:r>
        <w:rPr>
          <w:b/>
        </w:rPr>
        <w:t>Tenant File</w:t>
      </w:r>
      <w:r>
        <w:t>?  (choose all that apply)</w:t>
      </w:r>
    </w:p>
    <w:p w14:paraId="7E85A5E0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 Income on 50059</w:t>
      </w:r>
    </w:p>
    <w:p w14:paraId="68397A8F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 Income from HHS/SSA</w:t>
      </w:r>
    </w:p>
    <w:p w14:paraId="001FA748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Identity Verification (Failed Pre-Screening/Failed Verification)</w:t>
      </w:r>
    </w:p>
    <w:p w14:paraId="596114C6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Income Summary</w:t>
      </w:r>
    </w:p>
    <w:p w14:paraId="7C66E2CB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Income Detail</w:t>
      </w:r>
    </w:p>
    <w:p w14:paraId="12177F6F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Income Discrepancy</w:t>
      </w:r>
    </w:p>
    <w:p w14:paraId="2A807834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Deceased Tenant</w:t>
      </w:r>
    </w:p>
    <w:p w14:paraId="1D90232E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New Hires </w:t>
      </w:r>
    </w:p>
    <w:p w14:paraId="3DA26FB5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Multiple Subsidy</w:t>
      </w:r>
    </w:p>
    <w:p w14:paraId="1BA43DFC" w14:textId="77777777" w:rsidR="009A459F" w:rsidRDefault="009A459F" w:rsidP="009A459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Existing Tenant Search</w:t>
      </w:r>
    </w:p>
    <w:p w14:paraId="06EAAE1D" w14:textId="77777777" w:rsidR="009A459F" w:rsidRPr="009A459F" w:rsidRDefault="009A459F" w:rsidP="009A459F">
      <w:pPr>
        <w:spacing w:line="276" w:lineRule="auto"/>
        <w:rPr>
          <w:rFonts w:ascii="Times New Roman" w:hAnsi="Times New Roman"/>
        </w:rPr>
      </w:pPr>
    </w:p>
    <w:p w14:paraId="0C505F65" w14:textId="2EBC171D" w:rsidR="0059438B" w:rsidRDefault="008D5250" w:rsidP="0059438B">
      <w:pPr>
        <w:pStyle w:val="ListParagraph"/>
        <w:numPr>
          <w:ilvl w:val="0"/>
          <w:numId w:val="20"/>
        </w:numPr>
      </w:pPr>
      <w:r>
        <w:t xml:space="preserve">When emailing electronic copies of EIV reports: </w:t>
      </w:r>
    </w:p>
    <w:p w14:paraId="6A64E527" w14:textId="77777777" w:rsidR="008D5250" w:rsidRDefault="008D5250" w:rsidP="008D5250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 must never email electronic copies of EIV reports </w:t>
      </w:r>
    </w:p>
    <w:p w14:paraId="3BB80939" w14:textId="77777777" w:rsidR="008D5250" w:rsidRDefault="008D5250" w:rsidP="008D5250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 may only email electronic copies of EIV reports if you are the EIV Coordinator </w:t>
      </w:r>
    </w:p>
    <w:p w14:paraId="1E469372" w14:textId="77777777" w:rsidR="008D5250" w:rsidRDefault="008D5250" w:rsidP="008D5250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The filed must be encrypted and password protected</w:t>
      </w:r>
    </w:p>
    <w:p w14:paraId="149337AF" w14:textId="77777777" w:rsidR="008D5250" w:rsidRDefault="008D5250" w:rsidP="008D5250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A4E5A">
        <w:rPr>
          <w:rFonts w:ascii="Times New Roman" w:hAnsi="Times New Roman"/>
        </w:rPr>
      </w:r>
      <w:r w:rsidR="007A4E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You must never create electronic copies of EIV reports</w:t>
      </w:r>
    </w:p>
    <w:p w14:paraId="6ECC020C" w14:textId="77777777" w:rsidR="008D5250" w:rsidRDefault="008D5250" w:rsidP="009A459F">
      <w:pPr>
        <w:pStyle w:val="ListParagraph"/>
        <w:ind w:left="360"/>
      </w:pPr>
    </w:p>
    <w:sectPr w:rsidR="008D5250" w:rsidSect="00BD056C">
      <w:headerReference w:type="default" r:id="rId8"/>
      <w:footerReference w:type="default" r:id="rId9"/>
      <w:headerReference w:type="first" r:id="rId10"/>
      <w:pgSz w:w="12240" w:h="15840"/>
      <w:pgMar w:top="1440" w:right="720" w:bottom="720" w:left="720" w:header="720" w:footer="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3D1A" w14:textId="77777777" w:rsidR="007A4E5A" w:rsidRDefault="007A4E5A" w:rsidP="00DD5BA7">
      <w:r>
        <w:separator/>
      </w:r>
    </w:p>
  </w:endnote>
  <w:endnote w:type="continuationSeparator" w:id="0">
    <w:p w14:paraId="1EFC89AD" w14:textId="77777777" w:rsidR="007A4E5A" w:rsidRDefault="007A4E5A" w:rsidP="00D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BCC5" w14:textId="1512D78D" w:rsidR="00865755" w:rsidRPr="00BD056C" w:rsidRDefault="00865755" w:rsidP="00B07F92">
    <w:pPr>
      <w:tabs>
        <w:tab w:val="center" w:pos="4320"/>
        <w:tab w:val="right" w:pos="8640"/>
      </w:tabs>
      <w:rPr>
        <w:rFonts w:ascii="Times New Roman" w:hAnsi="Times New Roman"/>
        <w:sz w:val="18"/>
        <w:szCs w:val="18"/>
      </w:rPr>
    </w:pPr>
    <w:r w:rsidRPr="00BD056C">
      <w:rPr>
        <w:rFonts w:ascii="Times New Roman" w:hAnsi="Times New Roman"/>
        <w:sz w:val="18"/>
        <w:szCs w:val="18"/>
      </w:rPr>
      <w:t>Copyright 20</w:t>
    </w:r>
    <w:r>
      <w:rPr>
        <w:rFonts w:ascii="Times New Roman" w:hAnsi="Times New Roman"/>
        <w:sz w:val="18"/>
        <w:szCs w:val="18"/>
      </w:rPr>
      <w:t>20</w:t>
    </w:r>
    <w:r w:rsidRPr="00BD056C">
      <w:rPr>
        <w:rFonts w:ascii="Times New Roman" w:hAnsi="Times New Roman"/>
        <w:sz w:val="18"/>
        <w:szCs w:val="18"/>
      </w:rPr>
      <w:t xml:space="preserve"> Ross Business Development, Inc.</w:t>
    </w:r>
    <w:r w:rsidRPr="00BD056C">
      <w:rPr>
        <w:rFonts w:ascii="Times New Roman" w:hAnsi="Times New Roman"/>
        <w:sz w:val="18"/>
        <w:szCs w:val="18"/>
      </w:rPr>
      <w:tab/>
    </w:r>
    <w:r w:rsidRPr="00BD056C">
      <w:rPr>
        <w:rFonts w:ascii="Times New Roman" w:hAnsi="Times New Roman"/>
        <w:sz w:val="18"/>
        <w:szCs w:val="18"/>
      </w:rPr>
      <w:tab/>
      <w:t xml:space="preserve">                                                                        Not for Distribution or Duplication</w:t>
    </w:r>
  </w:p>
  <w:p w14:paraId="73CED164" w14:textId="77777777" w:rsidR="00865755" w:rsidRPr="00BD056C" w:rsidRDefault="007A4E5A" w:rsidP="00B07F92">
    <w:pPr>
      <w:pStyle w:val="Footer"/>
      <w:rPr>
        <w:rFonts w:ascii="Times New Roman" w:hAnsi="Times New Roman"/>
      </w:rPr>
    </w:pPr>
    <w:hyperlink r:id="rId1" w:history="1">
      <w:r w:rsidR="00865755" w:rsidRPr="00BD056C">
        <w:rPr>
          <w:rFonts w:ascii="Times New Roman" w:hAnsi="Times New Roman"/>
          <w:color w:val="0000FF"/>
          <w:sz w:val="18"/>
          <w:szCs w:val="18"/>
          <w:u w:val="single"/>
        </w:rPr>
        <w:t>www.rbdnow.com</w:t>
      </w:r>
    </w:hyperlink>
    <w:r w:rsidR="00865755" w:rsidRPr="00BD056C">
      <w:rPr>
        <w:rFonts w:ascii="Times New Roman" w:hAnsi="Times New Roman"/>
      </w:rPr>
      <w:tab/>
    </w:r>
    <w:r w:rsidR="00865755" w:rsidRPr="00BD056C">
      <w:rPr>
        <w:rFonts w:ascii="Times New Roman" w:hAnsi="Times New Roman"/>
        <w:sz w:val="18"/>
        <w:szCs w:val="18"/>
      </w:rPr>
      <w:fldChar w:fldCharType="begin"/>
    </w:r>
    <w:r w:rsidR="00865755" w:rsidRPr="00BD056C">
      <w:rPr>
        <w:rFonts w:ascii="Times New Roman" w:hAnsi="Times New Roman"/>
        <w:sz w:val="18"/>
        <w:szCs w:val="18"/>
      </w:rPr>
      <w:instrText xml:space="preserve"> PAGE </w:instrText>
    </w:r>
    <w:r w:rsidR="00865755" w:rsidRPr="00BD056C">
      <w:rPr>
        <w:rFonts w:ascii="Times New Roman" w:hAnsi="Times New Roman"/>
        <w:sz w:val="18"/>
        <w:szCs w:val="18"/>
      </w:rPr>
      <w:fldChar w:fldCharType="separate"/>
    </w:r>
    <w:r w:rsidR="00865755" w:rsidRPr="00BD056C">
      <w:rPr>
        <w:rFonts w:ascii="Times New Roman" w:hAnsi="Times New Roman"/>
        <w:noProof/>
        <w:sz w:val="18"/>
        <w:szCs w:val="18"/>
      </w:rPr>
      <w:t>1</w:t>
    </w:r>
    <w:r w:rsidR="00865755" w:rsidRPr="00BD056C">
      <w:rPr>
        <w:rFonts w:ascii="Times New Roman" w:hAnsi="Times New Roman"/>
        <w:sz w:val="18"/>
        <w:szCs w:val="18"/>
      </w:rPr>
      <w:fldChar w:fldCharType="end"/>
    </w:r>
    <w:r w:rsidR="00865755" w:rsidRPr="00BD056C">
      <w:rPr>
        <w:rFonts w:ascii="Times New Roman" w:hAnsi="Times New Roman"/>
        <w:sz w:val="18"/>
        <w:szCs w:val="18"/>
      </w:rPr>
      <w:tab/>
    </w:r>
    <w:r w:rsidR="00865755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</w:t>
    </w:r>
    <w:hyperlink r:id="rId2" w:history="1">
      <w:r w:rsidR="00865755" w:rsidRPr="003A186A">
        <w:rPr>
          <w:rStyle w:val="Hyperlink"/>
          <w:rFonts w:ascii="Times New Roman" w:hAnsi="Times New Roman"/>
          <w:sz w:val="18"/>
          <w:szCs w:val="18"/>
        </w:rPr>
        <w:t>info@rbdnow.com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F230" w14:textId="77777777" w:rsidR="007A4E5A" w:rsidRDefault="007A4E5A" w:rsidP="00DD5BA7">
      <w:r>
        <w:separator/>
      </w:r>
    </w:p>
  </w:footnote>
  <w:footnote w:type="continuationSeparator" w:id="0">
    <w:p w14:paraId="43359FD9" w14:textId="77777777" w:rsidR="007A4E5A" w:rsidRDefault="007A4E5A" w:rsidP="00DD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8EFD" w14:textId="77777777" w:rsidR="00865755" w:rsidRPr="00BD056C" w:rsidRDefault="00865755" w:rsidP="00BD056C">
    <w:pPr>
      <w:pStyle w:val="Header"/>
      <w:jc w:val="center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D3403" wp14:editId="29A1155B">
          <wp:simplePos x="0" y="0"/>
          <wp:positionH relativeFrom="column">
            <wp:posOffset>182245</wp:posOffset>
          </wp:positionH>
          <wp:positionV relativeFrom="page">
            <wp:posOffset>303530</wp:posOffset>
          </wp:positionV>
          <wp:extent cx="749300" cy="356235"/>
          <wp:effectExtent l="0" t="0" r="0" b="5715"/>
          <wp:wrapTight wrapText="bothSides">
            <wp:wrapPolygon edited="0">
              <wp:start x="0" y="0"/>
              <wp:lineTo x="0" y="20791"/>
              <wp:lineTo x="20868" y="20791"/>
              <wp:lineTo x="20868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d color(tag 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30F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 xml:space="preserve">EIV </w:t>
    </w:r>
    <w:r w:rsidRPr="0020330F">
      <w:rPr>
        <w:rFonts w:cs="Arial"/>
        <w:b/>
        <w:sz w:val="28"/>
        <w:szCs w:val="28"/>
      </w:rPr>
      <w:t>Knowledge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5FEA" w14:textId="00B1C7C5" w:rsidR="00865755" w:rsidRPr="00BD056C" w:rsidRDefault="00865755" w:rsidP="008E2128">
    <w:pPr>
      <w:pStyle w:val="Header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BD1BBA" wp14:editId="28DD75FB">
          <wp:simplePos x="0" y="0"/>
          <wp:positionH relativeFrom="column">
            <wp:posOffset>182245</wp:posOffset>
          </wp:positionH>
          <wp:positionV relativeFrom="page">
            <wp:posOffset>303530</wp:posOffset>
          </wp:positionV>
          <wp:extent cx="749300" cy="356235"/>
          <wp:effectExtent l="0" t="0" r="0" b="5715"/>
          <wp:wrapTight wrapText="bothSides">
            <wp:wrapPolygon edited="0">
              <wp:start x="0" y="0"/>
              <wp:lineTo x="0" y="20791"/>
              <wp:lineTo x="20868" y="20791"/>
              <wp:lineTo x="208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d color(tag 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 xml:space="preserve">                          EIV</w:t>
    </w:r>
    <w:r w:rsidRPr="0020330F">
      <w:rPr>
        <w:rFonts w:cs="Arial"/>
        <w:b/>
        <w:sz w:val="28"/>
        <w:szCs w:val="28"/>
      </w:rPr>
      <w:t xml:space="preserve"> Knowledge </w:t>
    </w:r>
    <w:r w:rsidR="00B93F01">
      <w:rPr>
        <w:rFonts w:cs="Arial"/>
        <w:b/>
        <w:sz w:val="28"/>
        <w:szCs w:val="28"/>
      </w:rPr>
      <w:t>Challenge</w:t>
    </w:r>
  </w:p>
  <w:p w14:paraId="1A8A5F17" w14:textId="77777777" w:rsidR="00865755" w:rsidRPr="00BD056C" w:rsidRDefault="00865755" w:rsidP="00BD056C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</w:t>
    </w:r>
    <w:r w:rsidRPr="00BD056C">
      <w:rPr>
        <w:rFonts w:ascii="Times New Roman" w:hAnsi="Times New Roman"/>
        <w:sz w:val="18"/>
        <w:szCs w:val="18"/>
      </w:rPr>
      <w:t>3134 Shumard Way</w:t>
    </w:r>
  </w:p>
  <w:p w14:paraId="496EA8FB" w14:textId="77777777" w:rsidR="00865755" w:rsidRPr="00BD056C" w:rsidRDefault="00865755" w:rsidP="00BD056C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</w:t>
    </w:r>
    <w:r w:rsidRPr="00BD056C">
      <w:rPr>
        <w:rFonts w:ascii="Times New Roman" w:hAnsi="Times New Roman"/>
        <w:sz w:val="18"/>
        <w:szCs w:val="18"/>
      </w:rPr>
      <w:t>Marietta, GA  30064</w:t>
    </w:r>
  </w:p>
  <w:p w14:paraId="355584CB" w14:textId="77777777" w:rsidR="00865755" w:rsidRPr="00BD056C" w:rsidRDefault="00865755" w:rsidP="00BD056C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</w:t>
    </w:r>
    <w:r w:rsidRPr="00BD056C">
      <w:rPr>
        <w:rFonts w:ascii="Times New Roman" w:hAnsi="Times New Roman"/>
        <w:sz w:val="18"/>
        <w:szCs w:val="18"/>
      </w:rPr>
      <w:t>770-424-1806</w:t>
    </w:r>
  </w:p>
  <w:p w14:paraId="2CD430E5" w14:textId="77777777" w:rsidR="00865755" w:rsidRPr="00BD056C" w:rsidRDefault="00865755" w:rsidP="00BD0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4365"/>
    <w:multiLevelType w:val="hybridMultilevel"/>
    <w:tmpl w:val="5E542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638"/>
    <w:multiLevelType w:val="hybridMultilevel"/>
    <w:tmpl w:val="2BB2C3A2"/>
    <w:lvl w:ilvl="0" w:tplc="037AD6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74966"/>
    <w:multiLevelType w:val="hybridMultilevel"/>
    <w:tmpl w:val="3D100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BFD"/>
    <w:multiLevelType w:val="hybridMultilevel"/>
    <w:tmpl w:val="61183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20A"/>
    <w:multiLevelType w:val="hybridMultilevel"/>
    <w:tmpl w:val="94481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A01B2"/>
    <w:multiLevelType w:val="hybridMultilevel"/>
    <w:tmpl w:val="79205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F026B"/>
    <w:multiLevelType w:val="hybridMultilevel"/>
    <w:tmpl w:val="DB5CEA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5F2A"/>
    <w:multiLevelType w:val="hybridMultilevel"/>
    <w:tmpl w:val="3C0E7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6A98"/>
    <w:multiLevelType w:val="hybridMultilevel"/>
    <w:tmpl w:val="0A548FFC"/>
    <w:lvl w:ilvl="0" w:tplc="8488C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2813"/>
    <w:multiLevelType w:val="hybridMultilevel"/>
    <w:tmpl w:val="2AD6D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23D8F"/>
    <w:multiLevelType w:val="hybridMultilevel"/>
    <w:tmpl w:val="CDE45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F4A"/>
    <w:multiLevelType w:val="hybridMultilevel"/>
    <w:tmpl w:val="61A8E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64A82"/>
    <w:multiLevelType w:val="hybridMultilevel"/>
    <w:tmpl w:val="D062C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56A1B"/>
    <w:multiLevelType w:val="hybridMultilevel"/>
    <w:tmpl w:val="AE94D632"/>
    <w:lvl w:ilvl="0" w:tplc="300A34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0E7"/>
    <w:multiLevelType w:val="hybridMultilevel"/>
    <w:tmpl w:val="01520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54943"/>
    <w:multiLevelType w:val="hybridMultilevel"/>
    <w:tmpl w:val="84B80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BFA"/>
    <w:multiLevelType w:val="hybridMultilevel"/>
    <w:tmpl w:val="4C1C3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A0138"/>
    <w:multiLevelType w:val="hybridMultilevel"/>
    <w:tmpl w:val="BFC6B9E8"/>
    <w:lvl w:ilvl="0" w:tplc="037AD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F7C97"/>
    <w:multiLevelType w:val="hybridMultilevel"/>
    <w:tmpl w:val="DCC87702"/>
    <w:lvl w:ilvl="0" w:tplc="ACA23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06D81"/>
    <w:multiLevelType w:val="hybridMultilevel"/>
    <w:tmpl w:val="5846072E"/>
    <w:lvl w:ilvl="0" w:tplc="8488C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1D15"/>
    <w:multiLevelType w:val="hybridMultilevel"/>
    <w:tmpl w:val="D144D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1D0F"/>
    <w:multiLevelType w:val="hybridMultilevel"/>
    <w:tmpl w:val="039A7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0BAD"/>
    <w:multiLevelType w:val="hybridMultilevel"/>
    <w:tmpl w:val="A5ECE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0C33"/>
    <w:multiLevelType w:val="hybridMultilevel"/>
    <w:tmpl w:val="82CC3E7C"/>
    <w:lvl w:ilvl="0" w:tplc="B2808F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E36FC"/>
    <w:multiLevelType w:val="hybridMultilevel"/>
    <w:tmpl w:val="25A8058E"/>
    <w:lvl w:ilvl="0" w:tplc="8488C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14E26"/>
    <w:multiLevelType w:val="hybridMultilevel"/>
    <w:tmpl w:val="A15E3540"/>
    <w:lvl w:ilvl="0" w:tplc="5B3ECE5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5A29"/>
    <w:multiLevelType w:val="hybridMultilevel"/>
    <w:tmpl w:val="4AD2E268"/>
    <w:lvl w:ilvl="0" w:tplc="B4A807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512A5"/>
    <w:multiLevelType w:val="hybridMultilevel"/>
    <w:tmpl w:val="D144D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7148"/>
    <w:multiLevelType w:val="hybridMultilevel"/>
    <w:tmpl w:val="5BBC9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86A37"/>
    <w:multiLevelType w:val="hybridMultilevel"/>
    <w:tmpl w:val="3E523B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C609E1"/>
    <w:multiLevelType w:val="hybridMultilevel"/>
    <w:tmpl w:val="47DE6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AC4C01"/>
    <w:multiLevelType w:val="hybridMultilevel"/>
    <w:tmpl w:val="0B7E4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202B6"/>
    <w:multiLevelType w:val="hybridMultilevel"/>
    <w:tmpl w:val="3EE4F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0E6C"/>
    <w:multiLevelType w:val="hybridMultilevel"/>
    <w:tmpl w:val="E7BE0FFC"/>
    <w:lvl w:ilvl="0" w:tplc="BF48C3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28F5"/>
    <w:multiLevelType w:val="hybridMultilevel"/>
    <w:tmpl w:val="ED42AC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24D53"/>
    <w:multiLevelType w:val="hybridMultilevel"/>
    <w:tmpl w:val="41A60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A68D4"/>
    <w:multiLevelType w:val="hybridMultilevel"/>
    <w:tmpl w:val="C860AE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076CDE"/>
    <w:multiLevelType w:val="hybridMultilevel"/>
    <w:tmpl w:val="91469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B2818"/>
    <w:multiLevelType w:val="hybridMultilevel"/>
    <w:tmpl w:val="6F2C6950"/>
    <w:lvl w:ilvl="0" w:tplc="9ACE7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8"/>
  </w:num>
  <w:num w:numId="3">
    <w:abstractNumId w:val="26"/>
  </w:num>
  <w:num w:numId="4">
    <w:abstractNumId w:val="22"/>
  </w:num>
  <w:num w:numId="5">
    <w:abstractNumId w:val="19"/>
  </w:num>
  <w:num w:numId="6">
    <w:abstractNumId w:val="24"/>
  </w:num>
  <w:num w:numId="7">
    <w:abstractNumId w:val="4"/>
  </w:num>
  <w:num w:numId="8">
    <w:abstractNumId w:val="30"/>
  </w:num>
  <w:num w:numId="9">
    <w:abstractNumId w:val="31"/>
  </w:num>
  <w:num w:numId="10">
    <w:abstractNumId w:val="16"/>
  </w:num>
  <w:num w:numId="11">
    <w:abstractNumId w:val="11"/>
  </w:num>
  <w:num w:numId="12">
    <w:abstractNumId w:val="7"/>
  </w:num>
  <w:num w:numId="13">
    <w:abstractNumId w:val="15"/>
  </w:num>
  <w:num w:numId="14">
    <w:abstractNumId w:val="6"/>
  </w:num>
  <w:num w:numId="15">
    <w:abstractNumId w:val="29"/>
  </w:num>
  <w:num w:numId="16">
    <w:abstractNumId w:val="14"/>
  </w:num>
  <w:num w:numId="17">
    <w:abstractNumId w:val="35"/>
  </w:num>
  <w:num w:numId="18">
    <w:abstractNumId w:val="36"/>
  </w:num>
  <w:num w:numId="19">
    <w:abstractNumId w:val="12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2"/>
  </w:num>
  <w:num w:numId="31">
    <w:abstractNumId w:val="2"/>
  </w:num>
  <w:num w:numId="32">
    <w:abstractNumId w:val="18"/>
  </w:num>
  <w:num w:numId="33">
    <w:abstractNumId w:val="37"/>
  </w:num>
  <w:num w:numId="34">
    <w:abstractNumId w:val="34"/>
  </w:num>
  <w:num w:numId="35">
    <w:abstractNumId w:val="9"/>
  </w:num>
  <w:num w:numId="36">
    <w:abstractNumId w:val="3"/>
  </w:num>
  <w:num w:numId="37">
    <w:abstractNumId w:val="28"/>
  </w:num>
  <w:num w:numId="38">
    <w:abstractNumId w:val="10"/>
  </w:num>
  <w:num w:numId="39">
    <w:abstractNumId w:val="21"/>
  </w:num>
  <w:num w:numId="40">
    <w:abstractNumId w:val="20"/>
  </w:num>
  <w:num w:numId="41">
    <w:abstractNumId w:val="27"/>
  </w:num>
  <w:num w:numId="42">
    <w:abstractNumId w:val="23"/>
  </w:num>
  <w:num w:numId="43">
    <w:abstractNumId w:val="13"/>
  </w:num>
  <w:num w:numId="44">
    <w:abstractNumId w:val="33"/>
  </w:num>
  <w:num w:numId="45">
    <w:abstractNumId w:val="17"/>
  </w:num>
  <w:num w:numId="46">
    <w:abstractNumId w:val="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2E"/>
    <w:rsid w:val="00001176"/>
    <w:rsid w:val="000445CA"/>
    <w:rsid w:val="00057C08"/>
    <w:rsid w:val="000E6455"/>
    <w:rsid w:val="001102C9"/>
    <w:rsid w:val="001765B5"/>
    <w:rsid w:val="001B6ABC"/>
    <w:rsid w:val="001E0EF9"/>
    <w:rsid w:val="001E6EF7"/>
    <w:rsid w:val="00213D2E"/>
    <w:rsid w:val="00215C78"/>
    <w:rsid w:val="00237648"/>
    <w:rsid w:val="002601EA"/>
    <w:rsid w:val="002A38A4"/>
    <w:rsid w:val="002F77C0"/>
    <w:rsid w:val="003D01B1"/>
    <w:rsid w:val="003F025A"/>
    <w:rsid w:val="00411754"/>
    <w:rsid w:val="00497CA5"/>
    <w:rsid w:val="00503840"/>
    <w:rsid w:val="005304F3"/>
    <w:rsid w:val="00577170"/>
    <w:rsid w:val="0059438B"/>
    <w:rsid w:val="00597B74"/>
    <w:rsid w:val="005A5495"/>
    <w:rsid w:val="005D177D"/>
    <w:rsid w:val="0064199E"/>
    <w:rsid w:val="00647D78"/>
    <w:rsid w:val="006967A4"/>
    <w:rsid w:val="006B4EFB"/>
    <w:rsid w:val="007665CA"/>
    <w:rsid w:val="00767ACE"/>
    <w:rsid w:val="007A4E5A"/>
    <w:rsid w:val="007B0D21"/>
    <w:rsid w:val="007D3336"/>
    <w:rsid w:val="007D6821"/>
    <w:rsid w:val="00865755"/>
    <w:rsid w:val="008702B7"/>
    <w:rsid w:val="008D5250"/>
    <w:rsid w:val="008D7D8E"/>
    <w:rsid w:val="008E2128"/>
    <w:rsid w:val="00907FF9"/>
    <w:rsid w:val="009A459F"/>
    <w:rsid w:val="00A10BC6"/>
    <w:rsid w:val="00A52636"/>
    <w:rsid w:val="00A541F3"/>
    <w:rsid w:val="00A829E7"/>
    <w:rsid w:val="00B07F92"/>
    <w:rsid w:val="00B42C64"/>
    <w:rsid w:val="00B93F01"/>
    <w:rsid w:val="00BD056C"/>
    <w:rsid w:val="00C57374"/>
    <w:rsid w:val="00C81144"/>
    <w:rsid w:val="00C819DD"/>
    <w:rsid w:val="00CA7CFB"/>
    <w:rsid w:val="00CB2D06"/>
    <w:rsid w:val="00CC7876"/>
    <w:rsid w:val="00D10F64"/>
    <w:rsid w:val="00D35736"/>
    <w:rsid w:val="00D37322"/>
    <w:rsid w:val="00D60450"/>
    <w:rsid w:val="00D72A2A"/>
    <w:rsid w:val="00D968EE"/>
    <w:rsid w:val="00DD5BA7"/>
    <w:rsid w:val="00E40616"/>
    <w:rsid w:val="00E84CE6"/>
    <w:rsid w:val="00E9634D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6B36"/>
  <w15:chartTrackingRefBased/>
  <w15:docId w15:val="{49F53341-1E5C-4DDC-B759-D73AF63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F7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177D"/>
    <w:pPr>
      <w:widowControl w:val="0"/>
      <w:spacing w:before="240" w:line="480" w:lineRule="auto"/>
      <w:outlineLvl w:val="0"/>
    </w:pPr>
    <w:rPr>
      <w:i/>
      <w:smallCaps/>
      <w:color w:val="00B050"/>
      <w:sz w:val="30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177D"/>
    <w:pPr>
      <w:widowControl w:val="0"/>
      <w:spacing w:before="240"/>
      <w:outlineLvl w:val="1"/>
    </w:pPr>
    <w:rPr>
      <w:rFonts w:ascii="Arial Black" w:hAnsi="Arial Black"/>
      <w:b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177D"/>
    <w:pPr>
      <w:keepNext/>
      <w:keepLines/>
      <w:spacing w:before="240"/>
      <w:outlineLvl w:val="2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177D"/>
    <w:rPr>
      <w:rFonts w:ascii="Arial" w:eastAsia="Times New Roman" w:hAnsi="Arial"/>
      <w:i/>
      <w:smallCaps/>
      <w:color w:val="00B050"/>
      <w:sz w:val="30"/>
      <w:szCs w:val="32"/>
      <w:u w:val="single"/>
    </w:rPr>
  </w:style>
  <w:style w:type="character" w:customStyle="1" w:styleId="Heading2Char">
    <w:name w:val="Heading 2 Char"/>
    <w:link w:val="Heading2"/>
    <w:uiPriority w:val="9"/>
    <w:rsid w:val="005D177D"/>
    <w:rPr>
      <w:rFonts w:ascii="Arial Black" w:eastAsia="Times New Roman" w:hAnsi="Arial Black"/>
      <w:b/>
      <w:smallCaps/>
      <w:sz w:val="24"/>
      <w:szCs w:val="26"/>
    </w:rPr>
  </w:style>
  <w:style w:type="character" w:customStyle="1" w:styleId="Heading3Char">
    <w:name w:val="Heading 3 Char"/>
    <w:link w:val="Heading3"/>
    <w:uiPriority w:val="9"/>
    <w:rsid w:val="005D177D"/>
    <w:rPr>
      <w:rFonts w:ascii="Arial Black" w:eastAsia="Times New Roman" w:hAnsi="Arial Black"/>
      <w:b/>
      <w:szCs w:val="24"/>
    </w:rPr>
  </w:style>
  <w:style w:type="paragraph" w:styleId="ListParagraph">
    <w:name w:val="List Paragraph"/>
    <w:basedOn w:val="Normal"/>
    <w:uiPriority w:val="34"/>
    <w:qFormat/>
    <w:rsid w:val="00213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A7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A7"/>
    <w:rPr>
      <w:rFonts w:ascii="Arial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7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bdnow.com" TargetMode="External"/><Relationship Id="rId1" Type="http://schemas.openxmlformats.org/officeDocument/2006/relationships/hyperlink" Target="http://www.rbdn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3BA-9A38-4BDB-9720-BD588D3C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Ross</dc:creator>
  <cp:keywords/>
  <dc:description/>
  <cp:lastModifiedBy>jennifer.zieminick@rbdnow.com</cp:lastModifiedBy>
  <cp:revision>2</cp:revision>
  <dcterms:created xsi:type="dcterms:W3CDTF">2020-07-29T14:02:00Z</dcterms:created>
  <dcterms:modified xsi:type="dcterms:W3CDTF">2020-07-29T14:02:00Z</dcterms:modified>
</cp:coreProperties>
</file>